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14:paraId="47B5DA6E" w14:textId="77777777" w:rsidR="00271F07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993B0D">
        <w:t xml:space="preserve"> </w:t>
      </w:r>
    </w:p>
    <w:p w14:paraId="5B7F9CCB" w14:textId="77777777" w:rsidR="000E57A7" w:rsidRDefault="000E57A7" w:rsidP="000E57A7">
      <w:pPr>
        <w:pStyle w:val="ListParagraph"/>
        <w:spacing w:after="0"/>
      </w:pPr>
    </w:p>
    <w:p w14:paraId="007881C2" w14:textId="187E7FA3" w:rsidR="000B01A4" w:rsidRPr="000E57A7" w:rsidRDefault="006E6165" w:rsidP="00271F07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 xml:space="preserve">Labs </w:t>
      </w:r>
      <w:r w:rsidR="000E57A7">
        <w:rPr>
          <w:i/>
          <w:color w:val="0070C0"/>
        </w:rPr>
        <w:t>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3933E887" w14:textId="77777777" w:rsidR="000E57A7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32CCA06E" w14:textId="77777777" w:rsidR="000E57A7" w:rsidRDefault="000E57A7" w:rsidP="000E57A7">
      <w:pPr>
        <w:pStyle w:val="ListParagraph"/>
        <w:spacing w:after="0"/>
      </w:pPr>
    </w:p>
    <w:p w14:paraId="6698BA37" w14:textId="7B4DB2B7" w:rsidR="00C05D14" w:rsidRDefault="00C05D14" w:rsidP="000E57A7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Darryl Johnson- Ace Analytical</w:t>
      </w:r>
    </w:p>
    <w:p w14:paraId="251E15B2" w14:textId="299B1E91" w:rsidR="00FF2238" w:rsidRDefault="00FF2238" w:rsidP="00FF2238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Shane Johnson- Silver State Trading</w:t>
      </w:r>
    </w:p>
    <w:p w14:paraId="65091015" w14:textId="45FA0EFF" w:rsidR="00E8582F" w:rsidRDefault="00E8582F" w:rsidP="000E57A7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Alec Garcia- 374 Labs</w:t>
      </w:r>
    </w:p>
    <w:p w14:paraId="298702EF" w14:textId="0221C82D" w:rsidR="00C05D14" w:rsidRDefault="00C05D14" w:rsidP="000E57A7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David Grenz- Nevada Department of Agriculture</w:t>
      </w:r>
    </w:p>
    <w:p w14:paraId="7C4FDB45" w14:textId="77777777" w:rsidR="00E8582F" w:rsidRDefault="00E8582F" w:rsidP="00E8582F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Ed Alexander- Common Sense Botanicals</w:t>
      </w:r>
    </w:p>
    <w:p w14:paraId="16FCE777" w14:textId="692A6CA5" w:rsidR="000B01A4" w:rsidRPr="003110FB" w:rsidRDefault="000B01A4" w:rsidP="000B01A4">
      <w:pPr>
        <w:spacing w:after="0"/>
      </w:pPr>
    </w:p>
    <w:p w14:paraId="7F488D41" w14:textId="7095E274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775D0A6E" w14:textId="77777777" w:rsidR="00A92D7D" w:rsidRDefault="00A92D7D" w:rsidP="00A92D7D">
      <w:pPr>
        <w:pStyle w:val="ListParagraph"/>
        <w:spacing w:after="0"/>
      </w:pPr>
    </w:p>
    <w:p w14:paraId="4AF02868" w14:textId="2E45ED99" w:rsidR="00305F42" w:rsidRPr="00C12B5A" w:rsidRDefault="00305F42" w:rsidP="00A92D7D">
      <w:pPr>
        <w:pStyle w:val="ListParagraph"/>
        <w:spacing w:after="0"/>
        <w:jc w:val="both"/>
        <w:rPr>
          <w:i/>
          <w:color w:val="FF0000"/>
        </w:rPr>
      </w:pPr>
      <w:r w:rsidRPr="00C12B5A">
        <w:rPr>
          <w:i/>
          <w:color w:val="FF0000"/>
        </w:rPr>
        <w:t xml:space="preserve">The goal of this recommendation is to ensure that the process used to create edibles produces a homogeneous product that consumers can rely on. The homogeneity testing of a production run will require testing of multiple units of a single production run to insure the manufacturer’s process is validated. The subsequent testing of single units or serving of a product run will serve as a spot check.   </w:t>
      </w:r>
    </w:p>
    <w:p w14:paraId="7907AF20" w14:textId="77777777" w:rsidR="000E57A7" w:rsidRPr="00305F42" w:rsidRDefault="000E57A7" w:rsidP="000E57A7">
      <w:pPr>
        <w:pStyle w:val="ListParagraph"/>
        <w:spacing w:after="0"/>
        <w:rPr>
          <w:i/>
          <w:color w:val="0070C0"/>
        </w:rPr>
      </w:pPr>
    </w:p>
    <w:p w14:paraId="68C69DA1" w14:textId="3D48BE6B" w:rsidR="00CE739D" w:rsidRPr="00305F42" w:rsidRDefault="00C417FF" w:rsidP="00A92D7D">
      <w:pPr>
        <w:pStyle w:val="ListParagraph"/>
        <w:numPr>
          <w:ilvl w:val="0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Edible product approval and homogeneity testing within a production run</w:t>
      </w:r>
    </w:p>
    <w:p w14:paraId="269A10AB" w14:textId="29319FA2" w:rsidR="00CE739D" w:rsidRPr="00305F42" w:rsidRDefault="00AE422E" w:rsidP="00A92D7D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Product approval by NDA</w:t>
      </w:r>
    </w:p>
    <w:p w14:paraId="7F7E282A" w14:textId="40BC9CB9" w:rsidR="00CE739D" w:rsidRPr="00305F42" w:rsidRDefault="00CE739D" w:rsidP="00A92D7D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Production Kitchen: SOP for edible manufacturing process: each different product</w:t>
      </w:r>
    </w:p>
    <w:p w14:paraId="25D7CE5E" w14:textId="5EC63D6A" w:rsidR="00CE739D" w:rsidRPr="00305F42" w:rsidRDefault="00CE739D" w:rsidP="00A92D7D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Demonstrate process produces homogeneous product</w:t>
      </w:r>
      <w:r w:rsidR="00B8719E" w:rsidRPr="00305F42">
        <w:rPr>
          <w:i/>
          <w:color w:val="0070C0"/>
        </w:rPr>
        <w:t xml:space="preserve">: </w:t>
      </w:r>
      <w:r w:rsidRPr="00305F42">
        <w:rPr>
          <w:i/>
          <w:color w:val="0070C0"/>
        </w:rPr>
        <w:t>allow specific requirements</w:t>
      </w:r>
      <w:r w:rsidR="00E8582F" w:rsidRPr="00305F42">
        <w:rPr>
          <w:i/>
          <w:color w:val="0070C0"/>
        </w:rPr>
        <w:t xml:space="preserve"> to be defined at a later time</w:t>
      </w:r>
    </w:p>
    <w:p w14:paraId="6314B068" w14:textId="4A1D63AB" w:rsidR="00CE739D" w:rsidRPr="00305F42" w:rsidRDefault="00CE739D" w:rsidP="00A92D7D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Periodic validation checks</w:t>
      </w:r>
      <w:r w:rsidR="0005477A" w:rsidRPr="00305F42">
        <w:rPr>
          <w:i/>
          <w:color w:val="0070C0"/>
        </w:rPr>
        <w:t xml:space="preserve"> (maybe once a year?)</w:t>
      </w:r>
    </w:p>
    <w:p w14:paraId="50C3B4BD" w14:textId="5C0339E3" w:rsidR="00C417FF" w:rsidRPr="00305F42" w:rsidRDefault="00C417FF" w:rsidP="00A92D7D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Changes in recipe, production run size, equipment, etc. would require a revalidation of the process and production run homogeneity testing</w:t>
      </w:r>
    </w:p>
    <w:p w14:paraId="2BC071D4" w14:textId="77777777" w:rsidR="00CE739D" w:rsidRPr="00305F42" w:rsidRDefault="00CE739D" w:rsidP="00A92D7D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Considerations:</w:t>
      </w:r>
    </w:p>
    <w:p w14:paraId="10DBA903" w14:textId="77777777" w:rsidR="00CE739D" w:rsidRPr="00305F42" w:rsidRDefault="00CE739D" w:rsidP="00A92D7D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Production run size will differ</w:t>
      </w:r>
    </w:p>
    <w:p w14:paraId="55EF8725" w14:textId="41D1FB03" w:rsidR="00CE739D" w:rsidRPr="00305F42" w:rsidRDefault="00CE739D" w:rsidP="00A92D7D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Edible matrix will impact homogeneity</w:t>
      </w:r>
      <w:r w:rsidR="00B6732B" w:rsidRPr="00305F42">
        <w:rPr>
          <w:i/>
          <w:color w:val="0070C0"/>
        </w:rPr>
        <w:t>: some products will require more extensive homogeneity testing than others</w:t>
      </w:r>
    </w:p>
    <w:p w14:paraId="2F97849F" w14:textId="77777777" w:rsidR="00B6732B" w:rsidRPr="00305F42" w:rsidRDefault="00B6732B" w:rsidP="00A92D7D">
      <w:pPr>
        <w:pStyle w:val="ListParagraph"/>
        <w:ind w:left="2160"/>
        <w:jc w:val="both"/>
        <w:rPr>
          <w:i/>
          <w:color w:val="0070C0"/>
        </w:rPr>
      </w:pPr>
    </w:p>
    <w:p w14:paraId="612072FA" w14:textId="2EF65838" w:rsidR="00CE739D" w:rsidRPr="00305F42" w:rsidRDefault="00AE422E" w:rsidP="00A92D7D">
      <w:pPr>
        <w:pStyle w:val="ListParagraph"/>
        <w:numPr>
          <w:ilvl w:val="0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Edible</w:t>
      </w:r>
      <w:r w:rsidR="00CE739D" w:rsidRPr="00305F42">
        <w:rPr>
          <w:i/>
          <w:color w:val="0070C0"/>
        </w:rPr>
        <w:t xml:space="preserve"> potency labeling</w:t>
      </w:r>
    </w:p>
    <w:p w14:paraId="34E7C72C" w14:textId="26D1C3E2" w:rsidR="00CE739D" w:rsidRPr="00305F42" w:rsidRDefault="00AE422E" w:rsidP="00A92D7D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Edible potency only calculated from d9-THC</w:t>
      </w:r>
    </w:p>
    <w:p w14:paraId="3AD0C178" w14:textId="62C79C21" w:rsidR="00CE739D" w:rsidRDefault="00CE739D" w:rsidP="00A92D7D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 xml:space="preserve">THCA </w:t>
      </w:r>
      <w:r w:rsidR="00AE422E" w:rsidRPr="00305F42">
        <w:rPr>
          <w:i/>
          <w:color w:val="0070C0"/>
        </w:rPr>
        <w:t xml:space="preserve">will not be used in calculation of edible potency </w:t>
      </w:r>
    </w:p>
    <w:p w14:paraId="4BB8C958" w14:textId="591C6448" w:rsidR="00305F42" w:rsidRPr="00C12B5A" w:rsidRDefault="00305F42" w:rsidP="00A92D7D">
      <w:pPr>
        <w:pStyle w:val="ListParagraph"/>
        <w:ind w:left="2160"/>
        <w:jc w:val="both"/>
        <w:rPr>
          <w:i/>
          <w:color w:val="FF0000"/>
        </w:rPr>
      </w:pPr>
      <w:r w:rsidRPr="00C12B5A">
        <w:rPr>
          <w:i/>
          <w:color w:val="FF0000"/>
        </w:rPr>
        <w:t xml:space="preserve">*THCA is a non- </w:t>
      </w:r>
      <w:proofErr w:type="spellStart"/>
      <w:r w:rsidRPr="00C12B5A">
        <w:rPr>
          <w:i/>
          <w:color w:val="FF0000"/>
        </w:rPr>
        <w:t>decarboxylated</w:t>
      </w:r>
      <w:proofErr w:type="spellEnd"/>
      <w:r w:rsidRPr="00C12B5A">
        <w:rPr>
          <w:i/>
          <w:color w:val="FF0000"/>
        </w:rPr>
        <w:t xml:space="preserve"> form of THC that is not psychoactive. THCA should be labeled independently</w:t>
      </w:r>
      <w:r w:rsidR="00C12B5A" w:rsidRPr="00C12B5A">
        <w:rPr>
          <w:i/>
          <w:color w:val="FF0000"/>
        </w:rPr>
        <w:t xml:space="preserve"> and</w:t>
      </w:r>
      <w:r w:rsidRPr="00C12B5A">
        <w:rPr>
          <w:i/>
          <w:color w:val="FF0000"/>
        </w:rPr>
        <w:t xml:space="preserve"> should not be included the total THC</w:t>
      </w:r>
      <w:r w:rsidR="00C12B5A" w:rsidRPr="00C12B5A">
        <w:rPr>
          <w:i/>
          <w:color w:val="FF0000"/>
        </w:rPr>
        <w:t xml:space="preserve"> potential</w:t>
      </w:r>
      <w:r w:rsidRPr="00C12B5A">
        <w:rPr>
          <w:i/>
          <w:color w:val="FF0000"/>
        </w:rPr>
        <w:t xml:space="preserve"> calculation for edibles.  </w:t>
      </w:r>
    </w:p>
    <w:p w14:paraId="1EBD8C0F" w14:textId="77777777" w:rsidR="00B6732B" w:rsidRPr="00305F42" w:rsidRDefault="00B6732B" w:rsidP="00A92D7D">
      <w:pPr>
        <w:pStyle w:val="ListParagraph"/>
        <w:ind w:left="2160"/>
        <w:jc w:val="both"/>
        <w:rPr>
          <w:i/>
          <w:color w:val="0070C0"/>
        </w:rPr>
      </w:pPr>
    </w:p>
    <w:p w14:paraId="622A305E" w14:textId="5EB2AB6D" w:rsidR="00CE739D" w:rsidRPr="00305F42" w:rsidRDefault="00AE422E" w:rsidP="00A92D7D">
      <w:pPr>
        <w:pStyle w:val="ListParagraph"/>
        <w:numPr>
          <w:ilvl w:val="0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Production Run Testing</w:t>
      </w:r>
    </w:p>
    <w:p w14:paraId="44117A22" w14:textId="64443F0F" w:rsidR="00605641" w:rsidRPr="00305F42" w:rsidRDefault="00CE739D" w:rsidP="00A92D7D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 xml:space="preserve">1 </w:t>
      </w:r>
      <w:r w:rsidR="00AE422E" w:rsidRPr="00305F42">
        <w:rPr>
          <w:i/>
          <w:color w:val="0070C0"/>
        </w:rPr>
        <w:t>serving size</w:t>
      </w:r>
      <w:r w:rsidR="000D19C9" w:rsidRPr="00305F42">
        <w:rPr>
          <w:i/>
          <w:color w:val="0070C0"/>
        </w:rPr>
        <w:t xml:space="preserve"> (or unit?)</w:t>
      </w:r>
      <w:r w:rsidR="00605641" w:rsidRPr="00305F42">
        <w:rPr>
          <w:i/>
          <w:color w:val="0070C0"/>
        </w:rPr>
        <w:t xml:space="preserve"> </w:t>
      </w:r>
      <w:r w:rsidRPr="00305F42">
        <w:rPr>
          <w:i/>
          <w:color w:val="0070C0"/>
        </w:rPr>
        <w:t xml:space="preserve">will be </w:t>
      </w:r>
      <w:r w:rsidR="00605641" w:rsidRPr="00305F42">
        <w:rPr>
          <w:i/>
          <w:color w:val="0070C0"/>
        </w:rPr>
        <w:t>analyzed</w:t>
      </w:r>
      <w:r w:rsidRPr="00305F42">
        <w:rPr>
          <w:i/>
          <w:color w:val="0070C0"/>
        </w:rPr>
        <w:t xml:space="preserve"> from each </w:t>
      </w:r>
      <w:r w:rsidR="00AE422E" w:rsidRPr="00305F42">
        <w:rPr>
          <w:i/>
          <w:color w:val="0070C0"/>
        </w:rPr>
        <w:t>production run</w:t>
      </w:r>
      <w:r w:rsidR="00B6732B" w:rsidRPr="00305F42">
        <w:rPr>
          <w:i/>
          <w:color w:val="0070C0"/>
        </w:rPr>
        <w:t xml:space="preserve"> for testing</w:t>
      </w:r>
    </w:p>
    <w:p w14:paraId="1392C2A2" w14:textId="3E8A5670" w:rsidR="00CE739D" w:rsidRPr="00305F42" w:rsidRDefault="00CE739D" w:rsidP="00A92D7D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lastRenderedPageBreak/>
        <w:t xml:space="preserve">Variation is the difference between </w:t>
      </w:r>
      <w:r w:rsidR="00C417FF" w:rsidRPr="00305F42">
        <w:rPr>
          <w:i/>
          <w:color w:val="0070C0"/>
        </w:rPr>
        <w:t xml:space="preserve">ITL </w:t>
      </w:r>
      <w:r w:rsidRPr="00305F42">
        <w:rPr>
          <w:i/>
          <w:color w:val="0070C0"/>
        </w:rPr>
        <w:t xml:space="preserve">measured concentration and </w:t>
      </w:r>
      <w:r w:rsidR="00C417FF" w:rsidRPr="00305F42">
        <w:rPr>
          <w:i/>
          <w:color w:val="0070C0"/>
        </w:rPr>
        <w:t xml:space="preserve">producer’s </w:t>
      </w:r>
      <w:r w:rsidRPr="00305F42">
        <w:rPr>
          <w:i/>
          <w:color w:val="0070C0"/>
        </w:rPr>
        <w:t xml:space="preserve">expected </w:t>
      </w:r>
      <w:r w:rsidR="00B6732B" w:rsidRPr="00305F42">
        <w:rPr>
          <w:i/>
          <w:color w:val="0070C0"/>
        </w:rPr>
        <w:t xml:space="preserve">serving size dosage </w:t>
      </w:r>
    </w:p>
    <w:p w14:paraId="6BE4777E" w14:textId="1B96DE48" w:rsidR="00CE739D" w:rsidRPr="00305F42" w:rsidRDefault="00C417FF" w:rsidP="00A92D7D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305F42">
        <w:rPr>
          <w:i/>
          <w:color w:val="0070C0"/>
        </w:rPr>
        <w:t>Allow for 15% variation between the ITL results and the intended dosage</w:t>
      </w:r>
    </w:p>
    <w:p w14:paraId="3C1BB20D" w14:textId="77777777" w:rsidR="00C72231" w:rsidRPr="00AF4951" w:rsidRDefault="00C72231" w:rsidP="00AF4951">
      <w:pPr>
        <w:pStyle w:val="ListParagraph"/>
        <w:spacing w:after="0"/>
        <w:jc w:val="both"/>
        <w:rPr>
          <w:i/>
          <w:color w:val="0070C0"/>
        </w:rPr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238ADEB" w14:textId="77777777" w:rsidR="000E57A7" w:rsidRPr="003110FB" w:rsidRDefault="000E57A7" w:rsidP="000E57A7">
      <w:pPr>
        <w:pStyle w:val="ListParagraph"/>
        <w:spacing w:after="0"/>
      </w:pPr>
    </w:p>
    <w:p w14:paraId="28AED3A2" w14:textId="7986CBB5" w:rsidR="009D1348" w:rsidRDefault="009D1348" w:rsidP="00A92D7D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>
        <w:rPr>
          <w:i/>
          <w:color w:val="0070C0"/>
        </w:rPr>
        <w:t>1 – Promote the health, safety, and well-being of Nevada’s communities</w:t>
      </w:r>
    </w:p>
    <w:p w14:paraId="171A3C03" w14:textId="77777777" w:rsidR="009D1348" w:rsidRDefault="009D1348" w:rsidP="00A92D7D">
      <w:pPr>
        <w:pStyle w:val="ListParagraph"/>
        <w:spacing w:after="0"/>
        <w:jc w:val="both"/>
        <w:rPr>
          <w:i/>
          <w:color w:val="0070C0"/>
        </w:rPr>
      </w:pPr>
    </w:p>
    <w:p w14:paraId="0C394456" w14:textId="5AA56B82" w:rsidR="00BD7523" w:rsidRDefault="000E57A7" w:rsidP="00A92D7D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2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Be responsive to the needs and issues of consumers, non-consumers, local governments and the industry</w:t>
      </w:r>
    </w:p>
    <w:p w14:paraId="127EA527" w14:textId="77777777" w:rsidR="000E57A7" w:rsidRPr="000E57A7" w:rsidRDefault="000E57A7" w:rsidP="00A92D7D">
      <w:pPr>
        <w:pStyle w:val="ListParagraph"/>
        <w:spacing w:after="0"/>
        <w:jc w:val="both"/>
        <w:rPr>
          <w:i/>
          <w:color w:val="0070C0"/>
        </w:rPr>
      </w:pPr>
    </w:p>
    <w:p w14:paraId="0BFF3CB6" w14:textId="056857ED" w:rsidR="00BD7523" w:rsidRDefault="000E57A7" w:rsidP="00A92D7D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6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Establish regulations that are clear and practical, so that interactions between law enforcement, consumers, and licensees are predictable and understandable</w:t>
      </w:r>
    </w:p>
    <w:p w14:paraId="1F928257" w14:textId="77777777" w:rsidR="000E57A7" w:rsidRPr="000E57A7" w:rsidRDefault="000E57A7" w:rsidP="00A92D7D">
      <w:pPr>
        <w:pStyle w:val="ListParagraph"/>
        <w:spacing w:after="0"/>
        <w:jc w:val="both"/>
        <w:rPr>
          <w:i/>
          <w:color w:val="0070C0"/>
        </w:rPr>
      </w:pPr>
    </w:p>
    <w:p w14:paraId="59C8BEB3" w14:textId="2E999411" w:rsidR="00BD7523" w:rsidRPr="000E57A7" w:rsidRDefault="000E57A7" w:rsidP="00A92D7D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7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Take action that is faithful to the text of Question 2</w:t>
      </w:r>
    </w:p>
    <w:p w14:paraId="2DC7E08C" w14:textId="77777777" w:rsidR="00E9081E" w:rsidRPr="003110FB" w:rsidRDefault="00E9081E" w:rsidP="00E9081E">
      <w:pPr>
        <w:spacing w:after="0"/>
      </w:pPr>
    </w:p>
    <w:p w14:paraId="4355C37A" w14:textId="1FFE2EE9" w:rsidR="00D348C7" w:rsidRPr="00962953" w:rsidRDefault="00E9081E" w:rsidP="00962953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</w:t>
      </w:r>
    </w:p>
    <w:p w14:paraId="73DFA33E" w14:textId="77777777" w:rsidR="00335DB5" w:rsidRDefault="00335DB5" w:rsidP="00D348C7">
      <w:pPr>
        <w:pStyle w:val="ListParagraph"/>
        <w:spacing w:after="0"/>
        <w:jc w:val="both"/>
        <w:rPr>
          <w:i/>
          <w:color w:val="0070C0"/>
        </w:rPr>
      </w:pPr>
    </w:p>
    <w:p w14:paraId="65866DA5" w14:textId="12F65341" w:rsidR="00335DB5" w:rsidRDefault="00335DB5" w:rsidP="00A92D7D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Section 2, subsection (g): Marijuana sold in the state will be tested and labeled</w:t>
      </w:r>
    </w:p>
    <w:p w14:paraId="2C60A713" w14:textId="77777777" w:rsidR="00335DB5" w:rsidRDefault="00335DB5" w:rsidP="00A92D7D">
      <w:pPr>
        <w:pStyle w:val="ListParagraph"/>
        <w:spacing w:after="0"/>
        <w:jc w:val="both"/>
        <w:rPr>
          <w:i/>
          <w:color w:val="0070C0"/>
        </w:rPr>
      </w:pPr>
    </w:p>
    <w:p w14:paraId="0EE4B14E" w14:textId="78D7FB25" w:rsidR="00335DB5" w:rsidRPr="00D348C7" w:rsidRDefault="00335DB5" w:rsidP="00A92D7D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Section 3, subsection 15: “Marijuana testing facility” means an entity licensed to test marijuana and marijuana products, including for potency and contaminants</w:t>
      </w:r>
    </w:p>
    <w:p w14:paraId="4C38E6F4" w14:textId="77777777" w:rsidR="00D348C7" w:rsidRPr="00D348C7" w:rsidRDefault="00D348C7" w:rsidP="00A92D7D">
      <w:pPr>
        <w:pStyle w:val="ListParagraph"/>
        <w:spacing w:after="0"/>
        <w:jc w:val="both"/>
        <w:rPr>
          <w:i/>
          <w:color w:val="0070C0"/>
        </w:rPr>
      </w:pP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51F2075" w14:textId="77777777" w:rsidR="00D348C7" w:rsidRDefault="00D348C7" w:rsidP="00D348C7">
      <w:pPr>
        <w:pStyle w:val="ListParagraph"/>
        <w:spacing w:after="0"/>
      </w:pPr>
    </w:p>
    <w:p w14:paraId="19A1FED0" w14:textId="6C24820C" w:rsidR="009D1348" w:rsidRDefault="00440AA5" w:rsidP="00D348C7">
      <w:pPr>
        <w:pStyle w:val="ListParagraph"/>
        <w:spacing w:after="0"/>
        <w:jc w:val="both"/>
        <w:rPr>
          <w:i/>
          <w:color w:val="0070C0"/>
        </w:rPr>
      </w:pPr>
      <w:r w:rsidRPr="00D348C7">
        <w:rPr>
          <w:i/>
          <w:color w:val="0070C0"/>
        </w:rPr>
        <w:t xml:space="preserve">Establishes </w:t>
      </w:r>
      <w:r w:rsidR="009D1348">
        <w:rPr>
          <w:i/>
          <w:color w:val="0070C0"/>
        </w:rPr>
        <w:t xml:space="preserve">practical </w:t>
      </w:r>
      <w:r w:rsidRPr="00D348C7">
        <w:rPr>
          <w:i/>
          <w:color w:val="0070C0"/>
        </w:rPr>
        <w:t xml:space="preserve">guidelines </w:t>
      </w:r>
      <w:r w:rsidR="009D1348">
        <w:rPr>
          <w:i/>
          <w:color w:val="0070C0"/>
        </w:rPr>
        <w:t xml:space="preserve">for standardization of edible cannabis product approval, testing, and reporting.  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D445E13" w14:textId="77777777" w:rsidR="00A04C61" w:rsidRDefault="00A04C61" w:rsidP="00A04C61">
      <w:pPr>
        <w:spacing w:after="0"/>
      </w:pPr>
    </w:p>
    <w:p w14:paraId="564705CE" w14:textId="478BEB19" w:rsidR="00271F07" w:rsidRPr="00D348C7" w:rsidRDefault="00A04C61" w:rsidP="00A04C61">
      <w:pPr>
        <w:spacing w:after="0"/>
        <w:ind w:left="720"/>
        <w:rPr>
          <w:i/>
          <w:color w:val="0070C0"/>
        </w:rPr>
      </w:pPr>
      <w:r w:rsidRPr="00A04C61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28939552" w14:textId="6F27DDEB" w:rsidR="00335DB5" w:rsidRPr="00D348C7" w:rsidRDefault="00A02FBC" w:rsidP="00A23679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Department of T</w:t>
      </w:r>
      <w:r w:rsidR="00962953">
        <w:rPr>
          <w:i/>
          <w:color w:val="0070C0"/>
        </w:rPr>
        <w:t>axation to ada</w:t>
      </w:r>
      <w:r w:rsidR="00335DB5">
        <w:rPr>
          <w:i/>
          <w:color w:val="0070C0"/>
        </w:rPr>
        <w:t xml:space="preserve">pt DPBH </w:t>
      </w:r>
      <w:r>
        <w:rPr>
          <w:i/>
          <w:color w:val="0070C0"/>
        </w:rPr>
        <w:t xml:space="preserve">regulations and </w:t>
      </w:r>
      <w:r w:rsidR="00335DB5">
        <w:rPr>
          <w:i/>
          <w:color w:val="0070C0"/>
        </w:rPr>
        <w:t xml:space="preserve">policy </w:t>
      </w:r>
      <w:r>
        <w:rPr>
          <w:i/>
          <w:color w:val="0070C0"/>
        </w:rPr>
        <w:t>attached.</w:t>
      </w:r>
      <w:r w:rsidR="00335DB5">
        <w:rPr>
          <w:i/>
          <w:color w:val="0070C0"/>
        </w:rPr>
        <w:t xml:space="preserve">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5600D567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0E57A7" w:rsidRPr="003110FB">
        <w:t>etc.</w:t>
      </w:r>
      <w:r w:rsidRPr="003110FB">
        <w:t>)</w:t>
      </w:r>
      <w:r w:rsidR="00B70E4E" w:rsidRPr="003110FB">
        <w:t>.</w:t>
      </w:r>
    </w:p>
    <w:p w14:paraId="47660C08" w14:textId="77777777" w:rsidR="00A92D7D" w:rsidRPr="003110FB" w:rsidRDefault="00A92D7D" w:rsidP="00A92D7D">
      <w:pPr>
        <w:pStyle w:val="ListParagraph"/>
        <w:spacing w:after="0"/>
      </w:pPr>
    </w:p>
    <w:p w14:paraId="0C3A275D" w14:textId="0656B914" w:rsidR="009D1348" w:rsidRDefault="00A02FBC" w:rsidP="00A92D7D">
      <w:pPr>
        <w:spacing w:after="0"/>
        <w:ind w:left="720"/>
        <w:rPr>
          <w:i/>
          <w:color w:val="0070C0"/>
        </w:rPr>
      </w:pPr>
      <w:r w:rsidRPr="002C5F8E">
        <w:rPr>
          <w:i/>
          <w:color w:val="0070C0"/>
        </w:rPr>
        <w:t xml:space="preserve">The recommendation </w:t>
      </w:r>
      <w:r w:rsidR="009D1348">
        <w:rPr>
          <w:i/>
          <w:color w:val="0070C0"/>
        </w:rPr>
        <w:t xml:space="preserve">will add cost to facilities that manufacturer edible cannabis products. Initial validation testing will require homogeneity testing within a production run prior to an </w:t>
      </w:r>
      <w:r w:rsidR="009D1348">
        <w:rPr>
          <w:i/>
          <w:color w:val="0070C0"/>
        </w:rPr>
        <w:lastRenderedPageBreak/>
        <w:t xml:space="preserve">edible product being approval for sale. Following approval, testing </w:t>
      </w:r>
      <w:r w:rsidR="00F26F7E">
        <w:rPr>
          <w:i/>
          <w:color w:val="0070C0"/>
        </w:rPr>
        <w:t>of a serving</w:t>
      </w:r>
      <w:r w:rsidR="009D1348">
        <w:rPr>
          <w:i/>
          <w:color w:val="0070C0"/>
        </w:rPr>
        <w:t xml:space="preserve"> will be required during state-mandated safe</w:t>
      </w:r>
      <w:r w:rsidR="00FF2238">
        <w:rPr>
          <w:i/>
          <w:color w:val="0070C0"/>
        </w:rPr>
        <w:t xml:space="preserve">ty. This should not add cost since the unit is already undergoing potency testing. </w:t>
      </w:r>
    </w:p>
    <w:p w14:paraId="0A49E7EE" w14:textId="77777777" w:rsidR="009D1348" w:rsidRDefault="009D1348" w:rsidP="00A04C61">
      <w:pPr>
        <w:spacing w:after="0"/>
        <w:ind w:left="720"/>
        <w:jc w:val="both"/>
        <w:rPr>
          <w:i/>
          <w:color w:val="0070C0"/>
        </w:rPr>
      </w:pPr>
    </w:p>
    <w:p w14:paraId="76792053" w14:textId="12D9199C" w:rsidR="00AE422E" w:rsidRPr="00A92D7D" w:rsidRDefault="00AE422E" w:rsidP="00A92D7D">
      <w:pPr>
        <w:spacing w:after="0"/>
        <w:ind w:left="810" w:hanging="90"/>
        <w:jc w:val="both"/>
        <w:rPr>
          <w:i/>
          <w:color w:val="0070C0"/>
          <w:szCs w:val="18"/>
        </w:rPr>
      </w:pPr>
      <w:r w:rsidRPr="00A92D7D">
        <w:rPr>
          <w:i/>
          <w:color w:val="0070C0"/>
          <w:szCs w:val="18"/>
        </w:rPr>
        <w:t>Additional information:</w:t>
      </w:r>
    </w:p>
    <w:p w14:paraId="2DB82747" w14:textId="0CC78BB7" w:rsidR="00AE422E" w:rsidRPr="00A92D7D" w:rsidRDefault="00AE422E" w:rsidP="00A92D7D">
      <w:pPr>
        <w:spacing w:after="0"/>
        <w:ind w:left="810" w:hanging="90"/>
        <w:jc w:val="both"/>
        <w:rPr>
          <w:i/>
          <w:color w:val="0070C0"/>
          <w:szCs w:val="18"/>
        </w:rPr>
      </w:pPr>
    </w:p>
    <w:p w14:paraId="5E479271" w14:textId="757FF70A" w:rsidR="00AE422E" w:rsidRPr="00A92D7D" w:rsidRDefault="00B6732B" w:rsidP="00A92D7D">
      <w:pPr>
        <w:spacing w:after="0"/>
        <w:ind w:left="810" w:hanging="90"/>
        <w:jc w:val="both"/>
        <w:rPr>
          <w:i/>
          <w:color w:val="0070C0"/>
          <w:szCs w:val="18"/>
        </w:rPr>
      </w:pPr>
      <w:r w:rsidRPr="00A92D7D">
        <w:rPr>
          <w:i/>
          <w:color w:val="0070C0"/>
          <w:szCs w:val="18"/>
        </w:rPr>
        <w:t>-</w:t>
      </w:r>
      <w:r w:rsidR="00AE422E" w:rsidRPr="00A92D7D">
        <w:rPr>
          <w:i/>
          <w:color w:val="0070C0"/>
          <w:szCs w:val="18"/>
        </w:rPr>
        <w:t>THCA vs. d9-THC</w:t>
      </w:r>
      <w:r w:rsidRPr="00A92D7D">
        <w:rPr>
          <w:i/>
          <w:color w:val="0070C0"/>
          <w:szCs w:val="18"/>
        </w:rPr>
        <w:t>: decarboxylation</w:t>
      </w:r>
    </w:p>
    <w:p w14:paraId="31C72F35" w14:textId="49352C73" w:rsidR="00B6732B" w:rsidRPr="00A92D7D" w:rsidRDefault="00B6732B" w:rsidP="00A92D7D">
      <w:pPr>
        <w:spacing w:after="0"/>
        <w:ind w:left="810" w:hanging="90"/>
        <w:jc w:val="both"/>
        <w:rPr>
          <w:i/>
          <w:color w:val="0070C0"/>
          <w:szCs w:val="18"/>
        </w:rPr>
      </w:pPr>
      <w:r w:rsidRPr="00A92D7D">
        <w:rPr>
          <w:i/>
          <w:color w:val="0070C0"/>
          <w:szCs w:val="18"/>
        </w:rPr>
        <w:t>-THCA: may have medicinal properties, not psychoactive</w:t>
      </w:r>
    </w:p>
    <w:p w14:paraId="148D365F" w14:textId="17F70E53" w:rsidR="00B6732B" w:rsidRPr="00A92D7D" w:rsidRDefault="00B6732B" w:rsidP="00A92D7D">
      <w:pPr>
        <w:spacing w:after="0"/>
        <w:ind w:left="810" w:hanging="90"/>
        <w:jc w:val="both"/>
        <w:rPr>
          <w:i/>
          <w:color w:val="0070C0"/>
          <w:szCs w:val="18"/>
        </w:rPr>
      </w:pPr>
      <w:r w:rsidRPr="00A92D7D">
        <w:rPr>
          <w:i/>
          <w:color w:val="0070C0"/>
          <w:szCs w:val="18"/>
        </w:rPr>
        <w:t xml:space="preserve">-Total potency calculation used for flowers and concentrates not valid here since decarboxylation cannot occur in vivo </w:t>
      </w:r>
    </w:p>
    <w:p w14:paraId="5CC2BD0D" w14:textId="4A45FB2B" w:rsidR="00AE422E" w:rsidRPr="00753FA6" w:rsidRDefault="00AE422E" w:rsidP="00AE422E">
      <w:pPr>
        <w:spacing w:after="0"/>
        <w:ind w:left="810" w:hanging="90"/>
        <w:rPr>
          <w:b/>
          <w:sz w:val="18"/>
          <w:szCs w:val="18"/>
        </w:rPr>
      </w:pPr>
    </w:p>
    <w:sectPr w:rsidR="00AE422E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1236F" w14:textId="77777777" w:rsidR="00F220CD" w:rsidRDefault="00F220CD" w:rsidP="00391997">
      <w:pPr>
        <w:spacing w:after="0" w:line="240" w:lineRule="auto"/>
      </w:pPr>
      <w:r>
        <w:separator/>
      </w:r>
    </w:p>
  </w:endnote>
  <w:endnote w:type="continuationSeparator" w:id="0">
    <w:p w14:paraId="5C9AC738" w14:textId="77777777" w:rsidR="00F220CD" w:rsidRDefault="00F220CD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1BB61E97" w:rsidR="00AF4951" w:rsidRPr="00F43822" w:rsidRDefault="00AF4951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3179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FF2238">
      <w:rPr>
        <w:rFonts w:ascii="Calibri" w:eastAsia="Times New Roman" w:hAnsi="Calibri" w:cs="Times New Roman"/>
        <w:b/>
        <w:i/>
        <w:color w:val="3737A5"/>
        <w:sz w:val="16"/>
        <w:szCs w:val="16"/>
      </w:rPr>
      <w:t>Homogeneity Testing of Edible Cannabis Products</w:t>
    </w:r>
    <w:r w:rsidR="008014AA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4 -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8014AA">
      <w:rPr>
        <w:rFonts w:ascii="Calibri" w:eastAsia="Times New Roman" w:hAnsi="Calibri" w:cs="Times New Roman"/>
        <w:bCs/>
        <w:i/>
        <w:color w:val="3737A5"/>
        <w:sz w:val="16"/>
        <w:szCs w:val="16"/>
      </w:rPr>
      <w:t>April 28</w:t>
    </w:r>
    <w:r w:rsidR="0012226A">
      <w:rPr>
        <w:rFonts w:ascii="Calibri" w:eastAsia="Times New Roman" w:hAnsi="Calibri" w:cs="Times New Roman"/>
        <w:bCs/>
        <w:i/>
        <w:color w:val="3737A5"/>
        <w:sz w:val="16"/>
        <w:szCs w:val="16"/>
      </w:rPr>
      <w:t>,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2017</w:t>
    </w:r>
  </w:p>
  <w:p w14:paraId="3EA83F4C" w14:textId="53E31E85" w:rsidR="00AF4951" w:rsidRPr="00F43822" w:rsidRDefault="00AF4951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AF4951" w:rsidRDefault="00AF4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65707" w14:textId="77777777" w:rsidR="00F220CD" w:rsidRDefault="00F220CD" w:rsidP="00391997">
      <w:pPr>
        <w:spacing w:after="0" w:line="240" w:lineRule="auto"/>
      </w:pPr>
      <w:r>
        <w:separator/>
      </w:r>
    </w:p>
  </w:footnote>
  <w:footnote w:type="continuationSeparator" w:id="0">
    <w:p w14:paraId="313050B6" w14:textId="77777777" w:rsidR="00F220CD" w:rsidRDefault="00F220CD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23B0416F" w:rsidR="00AF4951" w:rsidRPr="00F43822" w:rsidRDefault="00CE739D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Homogeneity Testing of Edible Cannabis Products</w:t>
    </w:r>
    <w:r w:rsidR="0012226A">
      <w:rPr>
        <w:sz w:val="22"/>
        <w:szCs w:val="22"/>
      </w:rPr>
      <w:t xml:space="preserve"> - Recommendation</w:t>
    </w:r>
  </w:p>
  <w:p w14:paraId="17B7899E" w14:textId="77777777" w:rsidR="00AF4951" w:rsidRDefault="00AF4951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0ADB"/>
    <w:multiLevelType w:val="hybridMultilevel"/>
    <w:tmpl w:val="0196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1354"/>
    <w:multiLevelType w:val="hybridMultilevel"/>
    <w:tmpl w:val="D812A6EC"/>
    <w:lvl w:ilvl="0" w:tplc="1952C980">
      <w:start w:val="1"/>
      <w:numFmt w:val="decimal"/>
      <w:lvlText w:val="%1."/>
      <w:lvlJc w:val="left"/>
      <w:pPr>
        <w:ind w:left="630" w:hanging="360"/>
      </w:pPr>
      <w:rPr>
        <w:rFonts w:ascii="Microsoft Sans Serif" w:eastAsia="Times New Roman" w:hAnsi="Microsoft Sans Serif" w:cs="Microsoft Sans Serif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EF516AF"/>
    <w:multiLevelType w:val="hybridMultilevel"/>
    <w:tmpl w:val="BBF2DEE0"/>
    <w:lvl w:ilvl="0" w:tplc="34F64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A30EF"/>
    <w:multiLevelType w:val="hybridMultilevel"/>
    <w:tmpl w:val="57A4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5477A"/>
    <w:rsid w:val="00060468"/>
    <w:rsid w:val="00067F46"/>
    <w:rsid w:val="000A1FC7"/>
    <w:rsid w:val="000A61D0"/>
    <w:rsid w:val="000B01A4"/>
    <w:rsid w:val="000C0C7A"/>
    <w:rsid w:val="000D19C9"/>
    <w:rsid w:val="000E57A7"/>
    <w:rsid w:val="000E7721"/>
    <w:rsid w:val="00114EF2"/>
    <w:rsid w:val="001153CC"/>
    <w:rsid w:val="0012226A"/>
    <w:rsid w:val="00172AE2"/>
    <w:rsid w:val="001866F9"/>
    <w:rsid w:val="00194B94"/>
    <w:rsid w:val="001B0ADC"/>
    <w:rsid w:val="001B10FF"/>
    <w:rsid w:val="00202E4C"/>
    <w:rsid w:val="0023729A"/>
    <w:rsid w:val="00271F07"/>
    <w:rsid w:val="002B165F"/>
    <w:rsid w:val="002C5F8E"/>
    <w:rsid w:val="0030577C"/>
    <w:rsid w:val="00305F42"/>
    <w:rsid w:val="003110FB"/>
    <w:rsid w:val="00335DB5"/>
    <w:rsid w:val="003670E0"/>
    <w:rsid w:val="00391997"/>
    <w:rsid w:val="00393803"/>
    <w:rsid w:val="00401CD9"/>
    <w:rsid w:val="004039AB"/>
    <w:rsid w:val="00435662"/>
    <w:rsid w:val="00440AA5"/>
    <w:rsid w:val="00442A3F"/>
    <w:rsid w:val="004548C3"/>
    <w:rsid w:val="005342FA"/>
    <w:rsid w:val="00565923"/>
    <w:rsid w:val="00574431"/>
    <w:rsid w:val="005C2029"/>
    <w:rsid w:val="005E102D"/>
    <w:rsid w:val="00605641"/>
    <w:rsid w:val="00620A0F"/>
    <w:rsid w:val="00630848"/>
    <w:rsid w:val="00672939"/>
    <w:rsid w:val="006B0A7E"/>
    <w:rsid w:val="006D20CE"/>
    <w:rsid w:val="006D4662"/>
    <w:rsid w:val="006E6165"/>
    <w:rsid w:val="006E7FD0"/>
    <w:rsid w:val="006F4723"/>
    <w:rsid w:val="00700DCA"/>
    <w:rsid w:val="00753FA6"/>
    <w:rsid w:val="007746E2"/>
    <w:rsid w:val="00774894"/>
    <w:rsid w:val="007765FD"/>
    <w:rsid w:val="007A4A8C"/>
    <w:rsid w:val="007E1AB2"/>
    <w:rsid w:val="007E65FD"/>
    <w:rsid w:val="008014AA"/>
    <w:rsid w:val="008313F9"/>
    <w:rsid w:val="00882EE9"/>
    <w:rsid w:val="008D5094"/>
    <w:rsid w:val="008F0634"/>
    <w:rsid w:val="009129C6"/>
    <w:rsid w:val="00912DB1"/>
    <w:rsid w:val="009201F4"/>
    <w:rsid w:val="009264B2"/>
    <w:rsid w:val="00957E83"/>
    <w:rsid w:val="00961D8A"/>
    <w:rsid w:val="00962953"/>
    <w:rsid w:val="009805E6"/>
    <w:rsid w:val="009871F1"/>
    <w:rsid w:val="00993B0D"/>
    <w:rsid w:val="00996A51"/>
    <w:rsid w:val="009D1348"/>
    <w:rsid w:val="009D1938"/>
    <w:rsid w:val="00A02FBC"/>
    <w:rsid w:val="00A04C61"/>
    <w:rsid w:val="00A23679"/>
    <w:rsid w:val="00A312E6"/>
    <w:rsid w:val="00A47E69"/>
    <w:rsid w:val="00A52BE0"/>
    <w:rsid w:val="00A65F31"/>
    <w:rsid w:val="00A65F54"/>
    <w:rsid w:val="00A92D7D"/>
    <w:rsid w:val="00AB71F7"/>
    <w:rsid w:val="00AE422E"/>
    <w:rsid w:val="00AF4951"/>
    <w:rsid w:val="00B11C15"/>
    <w:rsid w:val="00B5637D"/>
    <w:rsid w:val="00B66051"/>
    <w:rsid w:val="00B6732B"/>
    <w:rsid w:val="00B70E4E"/>
    <w:rsid w:val="00B87159"/>
    <w:rsid w:val="00B8719E"/>
    <w:rsid w:val="00B95A2A"/>
    <w:rsid w:val="00BC0B03"/>
    <w:rsid w:val="00BC0F10"/>
    <w:rsid w:val="00BD7523"/>
    <w:rsid w:val="00BE6DD3"/>
    <w:rsid w:val="00BF6BBC"/>
    <w:rsid w:val="00C05D14"/>
    <w:rsid w:val="00C12B5A"/>
    <w:rsid w:val="00C22826"/>
    <w:rsid w:val="00C417FF"/>
    <w:rsid w:val="00C72231"/>
    <w:rsid w:val="00C87322"/>
    <w:rsid w:val="00CB3F28"/>
    <w:rsid w:val="00CC30A8"/>
    <w:rsid w:val="00CE739D"/>
    <w:rsid w:val="00D22E65"/>
    <w:rsid w:val="00D348C7"/>
    <w:rsid w:val="00D46092"/>
    <w:rsid w:val="00D7500C"/>
    <w:rsid w:val="00D926ED"/>
    <w:rsid w:val="00DA287B"/>
    <w:rsid w:val="00DC4C91"/>
    <w:rsid w:val="00DD1A10"/>
    <w:rsid w:val="00DD7372"/>
    <w:rsid w:val="00DE0ABD"/>
    <w:rsid w:val="00E50E8D"/>
    <w:rsid w:val="00E8582F"/>
    <w:rsid w:val="00E9081E"/>
    <w:rsid w:val="00E96CEA"/>
    <w:rsid w:val="00EC03A5"/>
    <w:rsid w:val="00F046BC"/>
    <w:rsid w:val="00F220CD"/>
    <w:rsid w:val="00F26F7E"/>
    <w:rsid w:val="00F27CF2"/>
    <w:rsid w:val="00F43822"/>
    <w:rsid w:val="00F60A58"/>
    <w:rsid w:val="00F942FA"/>
    <w:rsid w:val="00FC1FA5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sectbody">
    <w:name w:val="sectbody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0E7721"/>
  </w:style>
  <w:style w:type="character" w:customStyle="1" w:styleId="section">
    <w:name w:val="section"/>
    <w:basedOn w:val="DefaultParagraphFont"/>
    <w:rsid w:val="000E7721"/>
  </w:style>
  <w:style w:type="character" w:customStyle="1" w:styleId="leadline">
    <w:name w:val="leadline"/>
    <w:basedOn w:val="DefaultParagraphFont"/>
    <w:rsid w:val="000E7721"/>
  </w:style>
  <w:style w:type="character" w:customStyle="1" w:styleId="apple-converted-space">
    <w:name w:val="apple-converted-space"/>
    <w:basedOn w:val="DefaultParagraphFont"/>
    <w:rsid w:val="000E7721"/>
  </w:style>
  <w:style w:type="paragraph" w:customStyle="1" w:styleId="sourcenote">
    <w:name w:val="sourcenote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cbody">
    <w:name w:val="nacbody"/>
    <w:basedOn w:val="Normal"/>
    <w:rsid w:val="004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section">
    <w:name w:val="nacsection"/>
    <w:basedOn w:val="DefaultParagraphFont"/>
    <w:rsid w:val="00401CD9"/>
  </w:style>
  <w:style w:type="character" w:customStyle="1" w:styleId="naclead">
    <w:name w:val="naclead"/>
    <w:basedOn w:val="DefaultParagraphFont"/>
    <w:rsid w:val="00401CD9"/>
  </w:style>
  <w:style w:type="character" w:customStyle="1" w:styleId="nrsauthority">
    <w:name w:val="nrsauthority"/>
    <w:basedOn w:val="DefaultParagraphFont"/>
    <w:rsid w:val="00401CD9"/>
  </w:style>
  <w:style w:type="table" w:styleId="TableGrid">
    <w:name w:val="Table Grid"/>
    <w:basedOn w:val="TableNormal"/>
    <w:uiPriority w:val="39"/>
    <w:rsid w:val="00CE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sectbody">
    <w:name w:val="sectbody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0E7721"/>
  </w:style>
  <w:style w:type="character" w:customStyle="1" w:styleId="section">
    <w:name w:val="section"/>
    <w:basedOn w:val="DefaultParagraphFont"/>
    <w:rsid w:val="000E7721"/>
  </w:style>
  <w:style w:type="character" w:customStyle="1" w:styleId="leadline">
    <w:name w:val="leadline"/>
    <w:basedOn w:val="DefaultParagraphFont"/>
    <w:rsid w:val="000E7721"/>
  </w:style>
  <w:style w:type="character" w:customStyle="1" w:styleId="apple-converted-space">
    <w:name w:val="apple-converted-space"/>
    <w:basedOn w:val="DefaultParagraphFont"/>
    <w:rsid w:val="000E7721"/>
  </w:style>
  <w:style w:type="paragraph" w:customStyle="1" w:styleId="sourcenote">
    <w:name w:val="sourcenote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cbody">
    <w:name w:val="nacbody"/>
    <w:basedOn w:val="Normal"/>
    <w:rsid w:val="004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section">
    <w:name w:val="nacsection"/>
    <w:basedOn w:val="DefaultParagraphFont"/>
    <w:rsid w:val="00401CD9"/>
  </w:style>
  <w:style w:type="character" w:customStyle="1" w:styleId="naclead">
    <w:name w:val="naclead"/>
    <w:basedOn w:val="DefaultParagraphFont"/>
    <w:rsid w:val="00401CD9"/>
  </w:style>
  <w:style w:type="character" w:customStyle="1" w:styleId="nrsauthority">
    <w:name w:val="nrsauthority"/>
    <w:basedOn w:val="DefaultParagraphFont"/>
    <w:rsid w:val="00401CD9"/>
  </w:style>
  <w:style w:type="table" w:styleId="TableGrid">
    <w:name w:val="Table Grid"/>
    <w:basedOn w:val="TableNormal"/>
    <w:uiPriority w:val="39"/>
    <w:rsid w:val="00CE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443F-3D24-4873-8360-E48588B4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3</cp:revision>
  <cp:lastPrinted>2017-03-24T15:45:00Z</cp:lastPrinted>
  <dcterms:created xsi:type="dcterms:W3CDTF">2017-04-18T20:01:00Z</dcterms:created>
  <dcterms:modified xsi:type="dcterms:W3CDTF">2017-04-18T20:04:00Z</dcterms:modified>
</cp:coreProperties>
</file>